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D810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1865F6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41" w:beforeLines="150" w:line="5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B0B0B"/>
          <w:spacing w:val="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B0B0B"/>
          <w:spacing w:val="0"/>
          <w:kern w:val="0"/>
          <w:sz w:val="44"/>
          <w:szCs w:val="44"/>
          <w:u w:val="none"/>
          <w:lang w:val="en-US" w:eastAsia="zh-CN" w:bidi="ar"/>
        </w:rPr>
        <w:t>湖南科技大学第七届教育硕士专业学位研究生</w:t>
      </w:r>
      <w:r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B0B0B"/>
          <w:spacing w:val="0"/>
          <w:kern w:val="0"/>
          <w:sz w:val="44"/>
          <w:szCs w:val="44"/>
          <w:u w:val="none"/>
          <w:lang w:val="en-US" w:eastAsia="zh-CN" w:bidi="ar"/>
        </w:rPr>
        <w:br w:type="textWrapping"/>
      </w:r>
      <w:r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B0B0B"/>
          <w:spacing w:val="0"/>
          <w:kern w:val="0"/>
          <w:sz w:val="44"/>
          <w:szCs w:val="44"/>
          <w:u w:val="none"/>
          <w:lang w:val="en-US" w:eastAsia="zh-CN" w:bidi="ar"/>
        </w:rPr>
        <w:t>教学案例竞赛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B0B0B"/>
          <w:spacing w:val="0"/>
          <w:kern w:val="0"/>
          <w:sz w:val="44"/>
          <w:szCs w:val="44"/>
          <w:u w:val="none"/>
          <w:lang w:val="en-US" w:eastAsia="zh-CN" w:bidi="ar"/>
        </w:rPr>
        <w:t>-教育专业学位教学案例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B0B0B"/>
          <w:spacing w:val="0"/>
          <w:kern w:val="0"/>
          <w:sz w:val="44"/>
          <w:szCs w:val="44"/>
          <w:u w:val="none"/>
          <w:lang w:val="en-US" w:eastAsia="zh-CN" w:bidi="ar"/>
        </w:rPr>
        <w:br w:type="textWrapping"/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B0B0B"/>
          <w:spacing w:val="0"/>
          <w:kern w:val="0"/>
          <w:sz w:val="44"/>
          <w:szCs w:val="44"/>
          <w:u w:val="none"/>
          <w:lang w:val="en-US" w:eastAsia="zh-CN" w:bidi="ar"/>
        </w:rPr>
        <w:t>内容规范和体例格式</w:t>
      </w:r>
    </w:p>
    <w:p w14:paraId="03610D62">
      <w:pPr>
        <w:pStyle w:val="12"/>
        <w:keepNext w:val="0"/>
        <w:keepLines w:val="0"/>
        <w:pageBreakBefore w:val="0"/>
        <w:widowControl/>
        <w:tabs>
          <w:tab w:val="left" w:pos="14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28" w:firstLineChars="200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案例开发与编写要始终坚持正确政治方向，全面贯彻落实习近平新时代中国特色社会主义思想，严格遵守国家法律法规，做到格式、体例、内容等规范。</w:t>
      </w:r>
    </w:p>
    <w:p w14:paraId="79761313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一、版权要求</w:t>
      </w:r>
    </w:p>
    <w:p w14:paraId="3B9938E1">
      <w:pPr>
        <w:pStyle w:val="12"/>
        <w:keepNext w:val="0"/>
        <w:keepLines w:val="0"/>
        <w:pageBreakBefore w:val="0"/>
        <w:widowControl/>
        <w:tabs>
          <w:tab w:val="left" w:pos="14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28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3"/>
          <w:sz w:val="32"/>
          <w:szCs w:val="32"/>
          <w:lang w:val="en-US"/>
        </w:rPr>
        <w:t>1.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原创案例，不侵犯任何第三方权利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。</w:t>
      </w:r>
    </w:p>
    <w:p w14:paraId="29EE9872">
      <w:pPr>
        <w:pStyle w:val="12"/>
        <w:keepNext w:val="0"/>
        <w:keepLines w:val="0"/>
        <w:pageBreakBefore w:val="0"/>
        <w:widowControl/>
        <w:tabs>
          <w:tab w:val="left" w:pos="14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28" w:firstLineChars="200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-3"/>
          <w:sz w:val="32"/>
          <w:szCs w:val="32"/>
          <w:lang w:val="en-US"/>
        </w:rPr>
        <w:t>2.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未被任何国内外案例库（含中国专业学位案例中心案例库）收录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包括评审阶段</w:t>
      </w:r>
      <w:r>
        <w:rPr>
          <w:rFonts w:hint="eastAsia" w:ascii="仿宋_GB2312" w:hAnsi="仿宋_GB2312" w:eastAsia="仿宋_GB2312" w:cs="仿宋_GB2312"/>
          <w:spacing w:val="-106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未在任何期刊发表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。</w:t>
      </w:r>
    </w:p>
    <w:p w14:paraId="41BD7A87">
      <w:pPr>
        <w:pStyle w:val="12"/>
        <w:keepNext w:val="0"/>
        <w:keepLines w:val="0"/>
        <w:pageBreakBefore w:val="0"/>
        <w:widowControl/>
        <w:tabs>
          <w:tab w:val="left" w:pos="14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en-US" w:eastAsia="zh-CN" w:bidi="zh-CN"/>
        </w:rPr>
        <w:t>3.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 w:bidi="zh-CN"/>
        </w:rPr>
        <w:t>案例正文和教学指导手册整体的查收率不得超过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lang w:val="en-US" w:eastAsia="zh-CN" w:bidi="zh-CN"/>
        </w:rPr>
        <w:t>15%。</w:t>
      </w:r>
    </w:p>
    <w:p w14:paraId="3D5A898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二、形式要求</w:t>
      </w:r>
    </w:p>
    <w:p w14:paraId="1C1F07CA">
      <w:pPr>
        <w:pStyle w:val="12"/>
        <w:keepNext w:val="0"/>
        <w:keepLines w:val="0"/>
        <w:pageBreakBefore w:val="0"/>
        <w:widowControl/>
        <w:tabs>
          <w:tab w:val="left" w:pos="14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28" w:firstLineChars="200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3"/>
          <w:sz w:val="32"/>
          <w:szCs w:val="32"/>
          <w:lang w:val="en-US"/>
        </w:rPr>
        <w:t>1.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符合中国专业学位案例中心文字案例内容规范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。</w:t>
      </w:r>
    </w:p>
    <w:p w14:paraId="26A61C9D">
      <w:pPr>
        <w:pStyle w:val="12"/>
        <w:keepNext w:val="0"/>
        <w:keepLines w:val="0"/>
        <w:pageBreakBefore w:val="0"/>
        <w:widowControl/>
        <w:tabs>
          <w:tab w:val="left" w:pos="14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28" w:firstLineChars="200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lang w:val="zh-CN" w:eastAsia="zh-CN" w:bidi="zh-CN"/>
        </w:rPr>
      </w:pPr>
      <w:r>
        <w:rPr>
          <w:rFonts w:hint="default" w:ascii="Times New Roman" w:hAnsi="Times New Roman" w:eastAsia="仿宋_GB2312" w:cs="Times New Roman"/>
          <w:spacing w:val="-3"/>
          <w:sz w:val="32"/>
          <w:szCs w:val="32"/>
          <w:lang w:val="en-US" w:eastAsia="zh-CN" w:bidi="zh-CN"/>
        </w:rPr>
        <w:t>2.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zh-CN" w:eastAsia="zh-CN" w:bidi="zh-CN"/>
        </w:rPr>
        <w:t>完整成果应包含案例正文、教学指导手册、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 w:bidi="zh-CN"/>
        </w:rPr>
        <w:t>查重报告等材料。</w:t>
      </w:r>
    </w:p>
    <w:p w14:paraId="2FF3AB8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三、内容规范</w:t>
      </w:r>
    </w:p>
    <w:p w14:paraId="4CEC57A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（一）案例封面</w:t>
      </w:r>
    </w:p>
    <w:p w14:paraId="561FB9D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介绍案例名称、专业领域/方向、适用课程、作者姓名、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专业领域所在学院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等。</w:t>
      </w:r>
    </w:p>
    <w:p w14:paraId="064FC85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（二）案例正文</w:t>
      </w:r>
    </w:p>
    <w:p w14:paraId="4B2700F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一般包括案例名称、中英文摘要及关键词、作者和版权相关信息、案例正文等内容，篇幅请勿过长或过短（一般不少于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10000</w:t>
      </w:r>
      <w:r>
        <w:rPr>
          <w:rFonts w:hint="eastAsia" w:ascii="仿宋_GB2312" w:hAnsi="仿宋_GB2312" w:eastAsia="仿宋_GB2312" w:cs="仿宋_GB2312"/>
          <w:sz w:val="32"/>
          <w:szCs w:val="32"/>
        </w:rPr>
        <w:t>字，附录计入字数）。</w:t>
      </w:r>
    </w:p>
    <w:p w14:paraId="102C27A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/>
        </w:rPr>
        <w:t>1.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/>
        </w:rPr>
        <w:t>案例名称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以明确清晰、简洁易懂的中性词语为宜。一般应包含有关主体/单位的真实名称，如真实名称需要做匿名化处理的请在首页脚注处说明。</w:t>
      </w:r>
    </w:p>
    <w:p w14:paraId="72274AD1">
      <w:pPr>
        <w:pStyle w:val="12"/>
        <w:keepNext w:val="0"/>
        <w:keepLines w:val="0"/>
        <w:pageBreakBefore w:val="0"/>
        <w:widowControl/>
        <w:tabs>
          <w:tab w:val="left" w:pos="14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 w:bidi="zh-CN"/>
        </w:rPr>
        <w:t>2.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/>
        </w:rPr>
        <w:t>中英文摘要及关键词。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摘要是对案例内容的简要描述，一般不作评论分析，</w:t>
      </w:r>
      <w:r>
        <w:rPr>
          <w:rFonts w:hint="default" w:ascii="Times New Roman" w:hAnsi="Times New Roman" w:eastAsia="仿宋_GB2312" w:cs="Times New Roman"/>
          <w:spacing w:val="-8"/>
          <w:sz w:val="32"/>
          <w:szCs w:val="32"/>
        </w:rPr>
        <w:t>300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字左右；关键词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3-5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个。</w:t>
      </w:r>
    </w:p>
    <w:p w14:paraId="2FCA03E3">
      <w:pPr>
        <w:pStyle w:val="12"/>
        <w:keepNext w:val="0"/>
        <w:keepLines w:val="0"/>
        <w:pageBreakBefore w:val="0"/>
        <w:widowControl/>
        <w:tabs>
          <w:tab w:val="left" w:pos="14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19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6"/>
          <w:sz w:val="32"/>
          <w:szCs w:val="32"/>
          <w:lang w:val="en-US"/>
        </w:rPr>
        <w:t>3.</w:t>
      </w: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</w:rPr>
        <w:t>作者和版权相关信息。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介绍作者姓名、工作单位、案例版权说明等。</w:t>
      </w:r>
    </w:p>
    <w:p w14:paraId="0BBA63BE">
      <w:pPr>
        <w:pStyle w:val="12"/>
        <w:keepNext w:val="0"/>
        <w:keepLines w:val="0"/>
        <w:pageBreakBefore w:val="0"/>
        <w:widowControl/>
        <w:tabs>
          <w:tab w:val="left" w:pos="14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19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6"/>
          <w:sz w:val="32"/>
          <w:szCs w:val="32"/>
          <w:lang w:val="en-US"/>
        </w:rPr>
        <w:t>4.</w:t>
      </w: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</w:rPr>
        <w:t>案例正文。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内容为基于客观事实的真实描述，一般应包含必要的时间、地点、主要人物、关键事件等信息。表述完整准确、条理清晰、决策点突出，数据真实可靠。</w:t>
      </w:r>
    </w:p>
    <w:p w14:paraId="64E5D6A1">
      <w:pPr>
        <w:pStyle w:val="12"/>
        <w:keepNext w:val="0"/>
        <w:keepLines w:val="0"/>
        <w:pageBreakBefore w:val="0"/>
        <w:widowControl/>
        <w:tabs>
          <w:tab w:val="left" w:pos="14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19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6"/>
          <w:sz w:val="32"/>
          <w:szCs w:val="32"/>
          <w:lang w:val="en-US"/>
        </w:rPr>
        <w:t>5.</w:t>
      </w: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</w:rPr>
        <w:t>其他材料。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脚注：对正文中某些技术问题、必要情况进行注释，应附于有关内容同页下端，用横线与正文断开。图表：按顺序编号并设标题，置于正文中合适位置。其中，图题应在图的下方，表头应在表的上方。附录：有助于理解且不便在正文中体现的数据、图表及相关背景资料等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。</w:t>
      </w:r>
    </w:p>
    <w:p w14:paraId="4132D29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（三）教学指导手册</w:t>
      </w:r>
    </w:p>
    <w:p w14:paraId="58D5311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教学指导手册应与案例正文对应，一般包括教学目标、启发思考题、分析思路、案例分析、课堂设计、要点汇总等内容。篇幅请勿过长或过短。</w:t>
      </w:r>
    </w:p>
    <w:p w14:paraId="3B3C096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教学目标。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包含教学用途、授课对象及适用课程等。</w:t>
      </w:r>
    </w:p>
    <w:p w14:paraId="1A82B70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启发思考题。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根据教学目标和案例内容提出有针对性的课堂讨论问题，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题为宜。</w:t>
      </w:r>
    </w:p>
    <w:p w14:paraId="3F4EB80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分析思路。</w:t>
      </w:r>
      <w:r>
        <w:rPr>
          <w:rFonts w:hint="eastAsia" w:ascii="仿宋_GB2312" w:hAnsi="仿宋_GB2312" w:eastAsia="仿宋_GB2312" w:cs="仿宋_GB2312"/>
          <w:sz w:val="32"/>
          <w:szCs w:val="32"/>
        </w:rPr>
        <w:t>展示案例分析的逻辑结构，体现案例问题、相关知识点和理论内在的逻辑关系。</w:t>
      </w:r>
    </w:p>
    <w:p w14:paraId="13EC696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/>
        </w:rPr>
        <w:t>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案例分析。</w:t>
      </w:r>
      <w:r>
        <w:rPr>
          <w:rFonts w:hint="eastAsia" w:ascii="仿宋_GB2312" w:hAnsi="仿宋_GB2312" w:eastAsia="仿宋_GB2312" w:cs="仿宋_GB2312"/>
          <w:sz w:val="32"/>
          <w:szCs w:val="32"/>
        </w:rPr>
        <w:t>基于启发思考题，选取适宜的理论、分析方法和工具对案例进行分析。</w:t>
      </w:r>
    </w:p>
    <w:p w14:paraId="541FDD0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/>
        </w:rPr>
        <w:t>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课堂设计。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包括时间安排、教学形式与环节设计等，必要时可附有板书计划。</w:t>
      </w:r>
    </w:p>
    <w:p w14:paraId="6059D55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/>
        </w:rPr>
        <w:t>6.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要点汇总。</w:t>
      </w:r>
      <w:r>
        <w:rPr>
          <w:rFonts w:hint="eastAsia" w:ascii="仿宋_GB2312" w:hAnsi="仿宋_GB2312" w:eastAsia="仿宋_GB2312" w:cs="仿宋_GB2312"/>
          <w:sz w:val="32"/>
          <w:szCs w:val="32"/>
        </w:rPr>
        <w:t>梳理案例涉及的主要教学知识点、总结和淬炼隐含的案例启示等。</w:t>
      </w:r>
    </w:p>
    <w:p w14:paraId="1F1C4A4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/>
        </w:rPr>
        <w:t>7.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其他说明（酌情）。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包括推荐阅读的相关资料、辅助教学材料、案例后续进展等。</w:t>
      </w:r>
    </w:p>
    <w:p w14:paraId="75D39B6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四、体例格式</w:t>
      </w:r>
    </w:p>
    <w:p w14:paraId="296735F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案例正文、教学指导手册应按照下述格式分别排版：</w:t>
      </w:r>
    </w:p>
    <w:p w14:paraId="6F44BAA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（一）题目</w:t>
      </w:r>
    </w:p>
    <w:p w14:paraId="3A6CDE4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采用宋体、三号、加粗。</w:t>
      </w:r>
    </w:p>
    <w:p w14:paraId="7213585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（二）摘要和关键词</w:t>
      </w:r>
    </w:p>
    <w:p w14:paraId="5FDF5DC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采用宋体、小四，“摘要”和“关键词”后需跟冒号，关键词之间用“、”隔开；英文摘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要和关键词应分别置于中文摘要和关键词之后。</w:t>
      </w:r>
    </w:p>
    <w:p w14:paraId="2F3B8FA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（三）正文</w:t>
      </w:r>
    </w:p>
    <w:p w14:paraId="04682EE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64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一级标题采用宋体、加粗、四号，二级标题采用宋体、加粗、小四，三级标题采用宋体、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小四；各级标题采用阿拉伯数字编号（如：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pacing w:val="-55"/>
          <w:sz w:val="32"/>
          <w:szCs w:val="32"/>
        </w:rPr>
        <w:t>．；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pacing w:val="-55"/>
          <w:sz w:val="32"/>
          <w:szCs w:val="32"/>
        </w:rPr>
        <w:t>．；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pacing w:val="-54"/>
          <w:sz w:val="32"/>
          <w:szCs w:val="32"/>
        </w:rPr>
        <w:t>．；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…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 xml:space="preserve">；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；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…</w:t>
      </w:r>
      <w:r>
        <w:rPr>
          <w:rFonts w:hint="eastAsia" w:ascii="仿宋_GB2312" w:hAnsi="仿宋_GB2312" w:eastAsia="仿宋_GB2312" w:cs="仿宋_GB2312"/>
          <w:spacing w:val="-107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；</w:t>
      </w:r>
    </w:p>
    <w:p w14:paraId="17CAC08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正文采用宋体、小四，脚注采用楷体、小五；</w:t>
      </w:r>
    </w:p>
    <w:p w14:paraId="01D0F8D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数字和英文均采用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Times New Roman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6F54CD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8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正文采用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1.25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倍行距，段前与段后间距各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0.25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行。</w:t>
      </w:r>
    </w:p>
    <w:p w14:paraId="4155DB1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</w:rPr>
        <w:t>）文献引注</w:t>
      </w:r>
    </w:p>
    <w:p w14:paraId="26DD795F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案例中的文中注释和推荐阅读文献的标注方式，参照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GB/T7</w:t>
      </w:r>
    </w:p>
    <w:p w14:paraId="5E7970D8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714—2015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075F55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/>
        </w:rPr>
        <w:t>1.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/>
        </w:rPr>
        <w:t>专著</w:t>
      </w:r>
      <w:bookmarkStart w:id="2" w:name="_GoBack"/>
      <w:bookmarkEnd w:id="2"/>
    </w:p>
    <w:p w14:paraId="6F30D7C5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主要责任者. 题名: 其他题名信息[文献类型标识/文献载体标识]. 其他责任者. 版本项. 出版地: 出版者, 出版年: 引文页码[引用日期]．获取和访问路径．数字对象唯一标识符．</w:t>
      </w:r>
    </w:p>
    <w:p w14:paraId="50E503D9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示例:</w:t>
      </w:r>
    </w:p>
    <w:p w14:paraId="61646E8E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[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] 陈登原. 国史旧闻: 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卷[</w:t>
      </w:r>
      <w:r>
        <w:rPr>
          <w:rFonts w:hint="default" w:ascii="Times New Roman" w:hAnsi="Times New Roman" w:eastAsia="仿宋_GB2312" w:cs="Times New Roman"/>
          <w:sz w:val="32"/>
          <w:szCs w:val="32"/>
        </w:rPr>
        <w:t>M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] .北京: 中华书局,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2000: 29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</w:p>
    <w:p w14:paraId="03478205">
      <w:pPr>
        <w:keepNext w:val="0"/>
        <w:keepLines w:val="0"/>
        <w:pageBreakBefore w:val="0"/>
        <w:widowControl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[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] 哈里森, 沃尔德伦．经济数学与金融数学[</w:t>
      </w:r>
      <w:r>
        <w:rPr>
          <w:rFonts w:hint="default" w:ascii="Times New Roman" w:hAnsi="Times New Roman" w:eastAsia="仿宋_GB2312" w:cs="Times New Roman"/>
          <w:sz w:val="32"/>
          <w:szCs w:val="32"/>
        </w:rPr>
        <w:t>M</w:t>
      </w:r>
      <w:r>
        <w:rPr>
          <w:rFonts w:hint="eastAsia" w:ascii="仿宋_GB2312" w:hAnsi="仿宋_GB2312" w:eastAsia="仿宋_GB2312" w:cs="仿宋_GB2312"/>
          <w:sz w:val="32"/>
          <w:szCs w:val="32"/>
        </w:rPr>
        <w:t>]. 谢远涛, 译．北京: 中国人民大学出版社,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2012: 235-236.</w:t>
      </w:r>
    </w:p>
    <w:p w14:paraId="54EBD9F6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[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] 北京市政协民族和宗教委员会, 北京联合大学民族与宗教研究所. 历代王朝与民族宗教[</w:t>
      </w:r>
      <w:r>
        <w:rPr>
          <w:rFonts w:hint="default" w:ascii="Times New Roman" w:hAnsi="Times New Roman" w:eastAsia="仿宋_GB2312" w:cs="Times New Roman"/>
          <w:sz w:val="32"/>
          <w:szCs w:val="32"/>
        </w:rPr>
        <w:t>M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]. 北京: 民族出版社,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2012: 112.</w:t>
      </w:r>
    </w:p>
    <w:p w14:paraId="1C8B23BA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[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]全国信息与文献标准化技术委员会. 信息与文献 都柏林核心元数据元素: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GB/T 25100-2010[S]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. 北京: 中国标准出版社,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2010: 2-3.</w:t>
      </w:r>
    </w:p>
    <w:p w14:paraId="6AF53361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[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] 徐光宪, 玉祥云. 物质结构[</w:t>
      </w:r>
      <w:r>
        <w:rPr>
          <w:rFonts w:hint="default" w:ascii="Times New Roman" w:hAnsi="Times New Roman" w:eastAsia="仿宋_GB2312" w:cs="Times New Roman"/>
          <w:sz w:val="32"/>
          <w:szCs w:val="32"/>
        </w:rPr>
        <w:t>M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]. 北京: 科学出版社,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2010.</w:t>
      </w:r>
    </w:p>
    <w:p w14:paraId="43077497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[</w:t>
      </w:r>
      <w:r>
        <w:rPr>
          <w:rFonts w:hint="default"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] 顾炎武. 昌平山水记；京东考古录[</w:t>
      </w:r>
      <w:r>
        <w:rPr>
          <w:rFonts w:hint="default" w:ascii="Times New Roman" w:hAnsi="Times New Roman" w:eastAsia="仿宋_GB2312" w:cs="Times New Roman"/>
          <w:sz w:val="32"/>
          <w:szCs w:val="32"/>
        </w:rPr>
        <w:t>M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]. 北京：北京古籍出版社,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1992.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48BC36B4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[</w:t>
      </w:r>
      <w:r>
        <w:rPr>
          <w:rFonts w:hint="default"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] 王夫之. 宋论[</w:t>
      </w:r>
      <w:r>
        <w:rPr>
          <w:rFonts w:hint="default" w:ascii="Times New Roman" w:hAnsi="Times New Roman" w:eastAsia="仿宋_GB2312" w:cs="Times New Roman"/>
          <w:sz w:val="32"/>
          <w:szCs w:val="32"/>
        </w:rPr>
        <w:t>M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]. 刻本. 金陵: 湘乡曾国荃,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1865</w:t>
      </w:r>
      <w:r>
        <w:rPr>
          <w:rFonts w:hint="eastAsia" w:ascii="仿宋_GB2312" w:hAnsi="仿宋_GB2312" w:eastAsia="仿宋_GB2312" w:cs="仿宋_GB2312"/>
          <w:sz w:val="32"/>
          <w:szCs w:val="32"/>
        </w:rPr>
        <w:t>（清同治四年）.</w:t>
      </w:r>
    </w:p>
    <w:p w14:paraId="648D5E73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[</w:t>
      </w:r>
      <w:r>
        <w:rPr>
          <w:rFonts w:hint="default" w:ascii="Times New Roman" w:hAnsi="Times New Roman" w:eastAsia="仿宋_GB2312" w:cs="Times New Roman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] 牛志明，斯温兰德，雷光存．综合湿地管理国际研讨会论文集[</w:t>
      </w:r>
      <w:r>
        <w:rPr>
          <w:rFonts w:hint="default" w:ascii="Times New Roman" w:hAnsi="Times New Roman" w:eastAsia="仿宋_GB2312" w:cs="Times New Roman"/>
          <w:sz w:val="32"/>
          <w:szCs w:val="32"/>
        </w:rPr>
        <w:t>C</w:t>
      </w:r>
      <w:r>
        <w:rPr>
          <w:rFonts w:hint="eastAsia" w:ascii="仿宋_GB2312" w:hAnsi="仿宋_GB2312" w:eastAsia="仿宋_GB2312" w:cs="仿宋_GB2312"/>
          <w:sz w:val="32"/>
          <w:szCs w:val="32"/>
        </w:rPr>
        <w:t>]. 北京：海洋出版社,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2012.</w:t>
      </w:r>
    </w:p>
    <w:p w14:paraId="1A673FE8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[</w:t>
      </w:r>
      <w:r>
        <w:rPr>
          <w:rFonts w:hint="default" w:ascii="Times New Roman" w:hAnsi="Times New Roman" w:eastAsia="仿宋_GB2312" w:cs="Times New Roman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] 中国第一历史档案馆, 辽宁省档案馆. 中国明朝档案总汇[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]. 桂林: 广西师范大学出版社,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2001.</w:t>
      </w:r>
    </w:p>
    <w:p w14:paraId="0DF0FA1D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[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] 杨保军. 新闻道德论[</w:t>
      </w:r>
      <w:r>
        <w:rPr>
          <w:rFonts w:hint="default" w:ascii="Times New Roman" w:hAnsi="Times New Roman" w:eastAsia="仿宋_GB2312" w:cs="Times New Roman"/>
          <w:sz w:val="32"/>
          <w:szCs w:val="32"/>
        </w:rPr>
        <w:t>D/OL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]. 北京: 中国人民大学出版社,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2010 [2012-11-01].http://apabi.lib.pku.edu.en/usp/pku/pub.mvc?pid=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>book.detail&amp;. metaid=m.20101104-BP0-889-1023&amp;.cull= CN.</w:t>
      </w:r>
    </w:p>
    <w:p w14:paraId="3FBD6AB2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[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] 赵学功.当代美国外交[</w:t>
      </w:r>
      <w:r>
        <w:rPr>
          <w:rFonts w:hint="default" w:ascii="Times New Roman" w:hAnsi="Times New Roman" w:eastAsia="仿宋_GB2312" w:cs="Times New Roman"/>
          <w:sz w:val="32"/>
          <w:szCs w:val="32"/>
        </w:rPr>
        <w:t>M/OL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]. 北京: 社会科学文献出版社,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2001[2014-06-11]. http: // www.cadal.zju.edu.en/book/trySinglePage/ 33023884/1.</w:t>
      </w:r>
    </w:p>
    <w:p w14:paraId="23FB298F">
      <w:pPr>
        <w:keepNext w:val="0"/>
        <w:keepLines w:val="0"/>
        <w:pageBreakBefore w:val="0"/>
        <w:widowControl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[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] 同济大学土木工程防灾国家重点实验室. 汶川地震震害研究[</w:t>
      </w:r>
      <w:r>
        <w:rPr>
          <w:rFonts w:hint="default" w:ascii="Times New Roman" w:hAnsi="Times New Roman" w:eastAsia="仿宋_GB2312" w:cs="Times New Roman"/>
          <w:sz w:val="32"/>
          <w:szCs w:val="32"/>
        </w:rPr>
        <w:t>M/OL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]. 上海: 同济大学出版社,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2011: 5-6 [2013-05-09].http://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>apabi.lib. pku.edu.cnlusplpkulpub.mvc?pid=book. detail&amp;.metaid=m.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>20120406-YPT- 889-0010.</w:t>
      </w:r>
    </w:p>
    <w:p w14:paraId="3473A6E1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[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] 中国造纸学会. 中国造纸年鉴：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2003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[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M/OL</w:t>
      </w:r>
      <w:r>
        <w:rPr>
          <w:rFonts w:hint="eastAsia" w:ascii="仿宋_GB2312" w:hAnsi="仿宋_GB2312" w:eastAsia="仿宋_GB2312" w:cs="仿宋_GB2312"/>
          <w:sz w:val="32"/>
          <w:szCs w:val="32"/>
        </w:rPr>
        <w:t>]. 北京：中国轻工业出版社，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2003</w:t>
      </w:r>
      <w:r>
        <w:rPr>
          <w:rFonts w:hint="eastAsia" w:ascii="仿宋_GB2312" w:hAnsi="仿宋_GB2312" w:eastAsia="仿宋_GB2312" w:cs="仿宋_GB2312"/>
          <w:sz w:val="32"/>
          <w:szCs w:val="32"/>
        </w:rPr>
        <w:t>[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2014-04-25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].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http ://WWW.cadal.zju.edu.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c</w:t>
      </w:r>
      <w:r>
        <w:rPr>
          <w:rFonts w:hint="default" w:ascii="Times New Roman" w:hAnsi="Times New Roman" w:eastAsia="仿宋_GB2312" w:cs="Times New Roman"/>
          <w:sz w:val="32"/>
          <w:szCs w:val="32"/>
        </w:rPr>
        <w:t>nl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>booklviewl25010080.</w:t>
      </w:r>
    </w:p>
    <w:p w14:paraId="08043BC8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[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]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PEEBLES P Z, Jr. Probability, random variable, and random signal principles[M] . 4th ed. New York: McGraw Hill,  2001.</w:t>
      </w:r>
    </w:p>
    <w:p w14:paraId="643CEA2F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[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]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YUFIN S A. Geoecology and computers: proceedings of the Third International Conference on Advances of Computer Methods in Geotechnical and Geoenvironmental Engineering, Moscow, Russia, February 1-4, 2000[C]. Rotterdam: A. A. Balkema, 2000.</w:t>
      </w:r>
    </w:p>
    <w:p w14:paraId="3472D434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[16]BALDOCK P. Developing early childhood services: past, present and future [M/OL]. [S. l.]: Open University Press, 2011: 105 [2012-11-27]. http:lllib.myilibrary.comlOpen.aspx? id= 312377.</w:t>
      </w:r>
    </w:p>
    <w:p w14:paraId="5EF4B850">
      <w:pPr>
        <w:keepNext w:val="0"/>
        <w:keepLines w:val="0"/>
        <w:pageBreakBefore w:val="0"/>
        <w:widowControl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[17] FAN X, SOMMERS C H. Food irradiation research and technology. 2nd ed. Ames, Iowa: Blackwell Publishing, 2013: 25-26[2014-06-26]. http://onlinelibrary. wiley.comldoi/10.100219781118422557.ch21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>summary.</w:t>
      </w:r>
    </w:p>
    <w:p w14:paraId="2C8F3E5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/>
        </w:rPr>
        <w:t>2.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/>
        </w:rPr>
        <w:t xml:space="preserve"> 专著中的析出文献</w:t>
      </w:r>
    </w:p>
    <w:p w14:paraId="29866E2A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析出文献主要责任者.析出文献题名[文献类型标志/文献载体标识].析出文献其他责任者∥专著主要责任者.专著题名:其他题名信息.版本项.出版地:出版者,出版年:析出文献的页码[引用日期].获取和访问路径.数字对象唯一标识符.</w:t>
      </w:r>
    </w:p>
    <w:p w14:paraId="17F6175C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示例：</w:t>
      </w:r>
    </w:p>
    <w:p w14:paraId="25CAA4EE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[1] 周易外传: 卷5[M]∥王夫之. 船山全书: 第6册. 长沙: 岳麓书社, 2011:1109.</w:t>
      </w:r>
    </w:p>
    <w:p w14:paraId="5916D757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[2] 程根伟. 1998年长江洪水的成因与减灾对策[M]//许厚泽, 赵其国. 长江流域洪涝灾害与科技对策. 北京: 科学出版社, 1999: 32-36.</w:t>
      </w:r>
    </w:p>
    <w:p w14:paraId="0F97E608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[3] 陈晋鏕, 张惠民, 朱士兴, 等. 蓟县震旦亚界研究[M]//中国地质科学院天津地质矿产研究所. 中国震旦亚界. 天津: 天津科学技术出版社, 1980: 56-114.</w:t>
      </w:r>
    </w:p>
    <w:p w14:paraId="5F8953BB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[4] 马克思. 政治经济学批判[M]//马克思, 恩格斯. 马克思恩格斯全集: 第35卷. 北京: 人民出版社, 2013: 302.</w:t>
      </w:r>
    </w:p>
    <w:p w14:paraId="5EBEDB06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[5] 贾东琴, 柯平. 面向数字素养的高校图书馆数字服务体系研究[C]//中国图书馆学会. 中国图书馆学会年会论文集: 2011卷. 北京: 国家图书馆出版社, 2011: 45-52.</w:t>
      </w:r>
    </w:p>
    <w:p w14:paraId="46926FB9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[6] WEINSTEIN L, SWERTZ M N. Pathogenic properties of invading microorganism[M]//SODEMAN W A, Jr, SODEMAN W A. Pathologic physiology: mechanisms of disease. Philadelphia: Saunders, 1074: 745-772.</w:t>
      </w:r>
    </w:p>
    <w:p w14:paraId="1ED65DB6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[7] ROBERSON J A, BURNESON E G. Drinking water standards, regulations and goals[M/OL]//American Water Works Association. Water quality &amp; treatment: a handbook on drinking water, 6th ed. New York: McGraw-Hill, 2011:1.1-1.36[2012-12-10]. 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"http://lib.mylibrary"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</w:rPr>
        <w:t>http://lib.mylibrary</w:t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t>.com/Open.aspx?id=291430.</w:t>
      </w:r>
    </w:p>
    <w:p w14:paraId="40FD3A66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期刊、报纸中的析出文献</w:t>
      </w:r>
    </w:p>
    <w:p w14:paraId="35D829B6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析出文献主要责任者．析出文献题名[文献类型标识/文献载体标识]．连续出版物题名: 其他题名信息, 年, 卷（期）: 页码[引用日期]. 获取和访问路径. 数字对象唯一标识符. </w:t>
      </w:r>
    </w:p>
    <w:p w14:paraId="49C9F151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示例：</w:t>
      </w:r>
    </w:p>
    <w:p w14:paraId="57FC7445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[1] 袁划来, 陈暂, 肖书海, 等. 蓝田生物群: 一个认识多细胞生物起源和早期演化的新窗口[J]. 科学通报, 2012, 55(34): 3219.</w:t>
      </w:r>
    </w:p>
    <w:p w14:paraId="2665B921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[2] 余建斌. 我们的科技一直在追赶: 访中国工程院院长周济[N/OL]. 人民日报, 2013-01-12(2) [2013-03-20].http://paper.people.com.cn/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>rmrb/html/ 2013-01/12/nw.01l0000rcnmrb_201301l 2_5-02.htm.</w:t>
      </w:r>
    </w:p>
    <w:p w14:paraId="40459C6A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[3] 李炳穆．韩国图书馆[J/OL].图书情报工作，2008, 52(6)： 6-12[2013-10- 25].http ://www.docin.com /p-4002 65742.html.</w:t>
      </w:r>
    </w:p>
    <w:p w14:paraId="0CB35A9F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[4] 李幼平, 王莉．循证医学研究方法：附视频[J/OL]. 中华移植杂志(电子版)2010, 4 (3) : 225-228[2014-06-09]. http://www.cqvip.com/ Read/Read.aspx? id= 36658332.</w:t>
      </w:r>
    </w:p>
    <w:p w14:paraId="00590262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[5] 武丽丽, 华一新, 张亚军, 等．“北斗一号”监控管理网设计与实现[J/ OL]. 测绘科学, 2008, 33(5):8-9[2009-10-25].http://vip.calis.edu.cn/CSTJ/Sear.dll? OPA_CreateDetail. DOI: 10.3771/j.issn.l 009-2307 .2008.05.002.</w:t>
      </w:r>
    </w:p>
    <w:p w14:paraId="059EE9B4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[6] KANAMORT H. Shaking without quaking [J]. Science, 1998, 279(5359) : 2063.</w:t>
      </w:r>
    </w:p>
    <w:p w14:paraId="58C4B068">
      <w:pPr>
        <w:keepNext w:val="0"/>
        <w:keepLines w:val="0"/>
        <w:pageBreakBefore w:val="0"/>
        <w:widowControl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[7] CAPLAN P. Cataloging internet resources [J]. The public access computer systems review, 1993, 4(2): 61-66. </w:t>
      </w:r>
    </w:p>
    <w:p w14:paraId="27558AB4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[8] FRESE K S, KATUS H A, MEDER B. Next-generation sequencing: from understanding biology to personalized medicine [J/OL]. Biology, 2013, 2(1): 378-398 [2013-03-19]. http://www.mdpi.com/2079-7737/2/l/378.DOI:10. 3390/biology2010378.</w:t>
      </w:r>
    </w:p>
    <w:p w14:paraId="69A13D06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[9] MYBURG A A, GRATTAPAGLIA D, TUSKAN C A, et al. The genome of Eucalyptus grandis[J/OL]. Nature, 2014, 510: 356-362 (2014-06-19)[2014-06-25]. http: //www.nature.com/nature/journal/ v510/n7505/pd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f</w:t>
      </w:r>
      <w:r>
        <w:rPr>
          <w:rFonts w:hint="default" w:ascii="Times New Roman" w:hAnsi="Times New Roman" w:eastAsia="仿宋_GB2312" w:cs="Times New Roman"/>
          <w:sz w:val="32"/>
          <w:szCs w:val="32"/>
        </w:rPr>
        <w:t>/nature13308.pdf. DOI :10.1038/naturel3308.</w:t>
      </w:r>
    </w:p>
    <w:p w14:paraId="4491FEB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/>
        </w:rPr>
        <w:t>4.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/>
        </w:rPr>
        <w:t>专利文献</w:t>
      </w:r>
    </w:p>
    <w:p w14:paraId="56E47ACB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专利申请者或所有者. 专利题名: 专利号[文献类型标识/文献载体标识]. 公告日期或公开日期[引用日期].获取和访问路径.数字对象唯一标识符.</w:t>
      </w:r>
    </w:p>
    <w:p w14:paraId="13DA59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示例：</w:t>
      </w:r>
    </w:p>
    <w:p w14:paraId="64E197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[1] 邓一刚. 全智能节电器: 200610171314.3[P]. 2006-12-13.</w:t>
      </w:r>
    </w:p>
    <w:p w14:paraId="4E5D02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[2]西安电子科技大学.光折变自适应光外差探测方法： 01128777.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>2[P/OL].2002-03-06[2002-05-28].http://211.152.9.47/sipoasp/zljs/</w:t>
      </w:r>
    </w:p>
    <w:p w14:paraId="7284BDA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/>
        </w:rPr>
      </w:pPr>
      <w:bookmarkStart w:id="0" w:name="OLE_LINK9"/>
      <w:bookmarkStart w:id="1" w:name="OLE_LINK10"/>
      <w:r>
        <w:rPr>
          <w:rFonts w:hint="default" w:ascii="Times New Roman" w:hAnsi="Times New Roman" w:eastAsia="仿宋_GB2312" w:cs="Times New Roman"/>
          <w:b/>
          <w:sz w:val="32"/>
          <w:szCs w:val="32"/>
          <w:lang w:val="en-US"/>
        </w:rPr>
        <w:t>5.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/>
        </w:rPr>
        <w:t>电子文献</w:t>
      </w:r>
    </w:p>
    <w:p w14:paraId="7A1F91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主要责任者．题名：其他题名信息[文献类型标识/文献载体标识].出版地：出版者, 出版年: 引文页码〈更新或修改日期）引用日期．获取和访问路径．数字对象唯一标识符．</w:t>
      </w:r>
    </w:p>
    <w:p w14:paraId="30C911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示例：</w:t>
      </w:r>
    </w:p>
    <w:p w14:paraId="6DB476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[1] 中国互联网络信息中心. 第四次中国互联网络发展现状统计报告[R/OL]. (2012-01-16)[2013-03-26].http://www.cnnic.net.en/hlwfayj/hiwxzbg/201201/P02012070935264469680.pdf.</w:t>
      </w:r>
    </w:p>
    <w:p w14:paraId="5139A7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[2] 北京市人民政府办公厅. 关于转发北京市企业投资项目核准暂行实施办法的通知: 京政办发[2005]37号[A/OL]. (2005-07-12)(2011-07-12]. http://china.findlaw.cn/fagui/ pl/39934.html.</w:t>
      </w:r>
    </w:p>
    <w:p w14:paraId="139415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[3] BAWDEN D. Origins and concepts of digital literacy[EB/OL]. (2008-05-04)[2013-03-08]. 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"http://www.soi.city.ac.uk／～dbawden/"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</w:rPr>
        <w:t>http://www.soi.city.ac.uk／～dbawden/</w:t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t>digital% 20literacy%20chapter.pdf.</w:t>
      </w:r>
    </w:p>
    <w:p w14:paraId="41775C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[4] Online Computer Library Center, Inc. About OCLC: history of cooperation[EB/OL]. [2012-03-27]. http://www.oclc.org/ about/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>cooperation. en.html.</w:t>
      </w:r>
    </w:p>
    <w:p w14:paraId="610856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[5]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HOPKINSON A. UNIMARC and metadata: Dublin core [EB/OL]. (2009-04-22) [2013-03-27]. http: // archive.ifla.org/  IV/ifla64I 138-161e.htm.</w:t>
      </w:r>
      <w:bookmarkEnd w:id="0"/>
      <w:bookmarkEnd w:id="1"/>
    </w:p>
    <w:sectPr>
      <w:footerReference r:id="rId3" w:type="default"/>
      <w:pgSz w:w="12240" w:h="15840"/>
      <w:pgMar w:top="1701" w:right="1474" w:bottom="1587" w:left="1587" w:header="1191" w:footer="907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D9030">
    <w:pPr>
      <w:pStyle w:val="5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3691890</wp:posOffset>
              </wp:positionH>
              <wp:positionV relativeFrom="page">
                <wp:posOffset>9211945</wp:posOffset>
              </wp:positionV>
              <wp:extent cx="107950" cy="1524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E5CDB25">
                          <w:pPr>
                            <w:spacing w:before="12"/>
                            <w:ind w:left="4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0.7pt;margin-top:725.35pt;height:12pt;width:8.5pt;mso-position-horizontal-relative:page;mso-position-vertical-relative:page;z-index:-251657216;mso-width-relative:page;mso-height-relative:page;" filled="f" stroked="f" coordsize="21600,21600" o:gfxdata="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JxQxxDbAAAADQEAAA8AAAAAAAAAAQAgAAAAIgAAAGRycy9kb3ducmV2Lnht&#10;bFBLAQIUABQAAAAIAIdO4kA1VoX2vQEAAH8DAAAOAAAAAAAAAAEAIAAAACo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E5CDB25">
                    <w:pPr>
                      <w:spacing w:before="12"/>
                      <w:ind w:left="4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NzAwMDU4NThkMDk1YWEwZTdkNzQ4MjZlMzM3MTgifQ=="/>
  </w:docVars>
  <w:rsids>
    <w:rsidRoot w:val="00B93E4D"/>
    <w:rsid w:val="001E2229"/>
    <w:rsid w:val="001E4D49"/>
    <w:rsid w:val="00226397"/>
    <w:rsid w:val="002F701D"/>
    <w:rsid w:val="00374270"/>
    <w:rsid w:val="00663C92"/>
    <w:rsid w:val="006F148A"/>
    <w:rsid w:val="00802A31"/>
    <w:rsid w:val="00856AEB"/>
    <w:rsid w:val="008C532D"/>
    <w:rsid w:val="00B93E4D"/>
    <w:rsid w:val="00D61576"/>
    <w:rsid w:val="00D85391"/>
    <w:rsid w:val="00D86B55"/>
    <w:rsid w:val="00F1666D"/>
    <w:rsid w:val="00F43BEF"/>
    <w:rsid w:val="106945F8"/>
    <w:rsid w:val="129415D5"/>
    <w:rsid w:val="17D96AF0"/>
    <w:rsid w:val="380B5401"/>
    <w:rsid w:val="46CC38B4"/>
    <w:rsid w:val="4A5C31C2"/>
    <w:rsid w:val="4C455587"/>
    <w:rsid w:val="57C77E54"/>
    <w:rsid w:val="592625A5"/>
    <w:rsid w:val="759222C5"/>
    <w:rsid w:val="7C42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zh-CN" w:eastAsia="zh-CN" w:bidi="ar-SA"/>
    </w:rPr>
  </w:style>
  <w:style w:type="paragraph" w:styleId="2">
    <w:name w:val="heading 1"/>
    <w:basedOn w:val="1"/>
    <w:next w:val="1"/>
    <w:qFormat/>
    <w:uiPriority w:val="1"/>
    <w:pPr>
      <w:spacing w:before="53"/>
      <w:ind w:left="780"/>
      <w:outlineLvl w:val="0"/>
    </w:pPr>
    <w:rPr>
      <w:rFonts w:ascii="华文中宋" w:hAnsi="华文中宋" w:eastAsia="华文中宋" w:cs="华文中宋"/>
      <w:sz w:val="32"/>
      <w:szCs w:val="32"/>
      <w:lang w:bidi="zh-CN"/>
    </w:rPr>
  </w:style>
  <w:style w:type="paragraph" w:styleId="3">
    <w:name w:val="heading 2"/>
    <w:basedOn w:val="1"/>
    <w:next w:val="1"/>
    <w:qFormat/>
    <w:uiPriority w:val="1"/>
    <w:pPr>
      <w:ind w:left="780"/>
      <w:outlineLvl w:val="1"/>
    </w:pPr>
    <w:rPr>
      <w:rFonts w:ascii="宋体" w:hAnsi="宋体" w:eastAsia="宋体" w:cs="宋体"/>
      <w:sz w:val="28"/>
      <w:szCs w:val="28"/>
      <w:lang w:bidi="zh-CN"/>
    </w:rPr>
  </w:style>
  <w:style w:type="paragraph" w:styleId="4">
    <w:name w:val="heading 3"/>
    <w:basedOn w:val="1"/>
    <w:next w:val="1"/>
    <w:qFormat/>
    <w:uiPriority w:val="1"/>
    <w:pPr>
      <w:ind w:left="1198"/>
      <w:outlineLvl w:val="2"/>
    </w:pPr>
    <w:rPr>
      <w:rFonts w:ascii="宋体" w:hAnsi="宋体" w:eastAsia="宋体" w:cs="宋体"/>
      <w:b/>
      <w:bCs/>
      <w:sz w:val="21"/>
      <w:szCs w:val="21"/>
      <w:lang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21"/>
      <w:szCs w:val="21"/>
      <w:lang w:bidi="zh-CN"/>
    </w:rPr>
  </w:style>
  <w:style w:type="paragraph" w:styleId="6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1"/>
    <w:pPr>
      <w:ind w:left="780" w:hanging="260"/>
    </w:pPr>
    <w:rPr>
      <w:rFonts w:ascii="宋体" w:hAnsi="宋体" w:eastAsia="宋体" w:cs="宋体"/>
      <w:lang w:bidi="zh-CN"/>
    </w:rPr>
  </w:style>
  <w:style w:type="character" w:customStyle="1" w:styleId="13">
    <w:name w:val="页眉 Char"/>
    <w:basedOn w:val="10"/>
    <w:link w:val="7"/>
    <w:semiHidden/>
    <w:qFormat/>
    <w:uiPriority w:val="99"/>
    <w:rPr>
      <w:sz w:val="18"/>
      <w:szCs w:val="18"/>
      <w:lang w:val="zh-CN"/>
    </w:rPr>
  </w:style>
  <w:style w:type="character" w:customStyle="1" w:styleId="14">
    <w:name w:val="页脚 Char"/>
    <w:basedOn w:val="10"/>
    <w:link w:val="6"/>
    <w:semiHidden/>
    <w:qFormat/>
    <w:uiPriority w:val="99"/>
    <w:rPr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NNU</Company>
  <Pages>10</Pages>
  <Words>3111</Words>
  <Characters>6235</Characters>
  <Lines>50</Lines>
  <Paragraphs>14</Paragraphs>
  <TotalTime>101</TotalTime>
  <ScaleCrop>false</ScaleCrop>
  <LinksUpToDate>false</LinksUpToDate>
  <CharactersWithSpaces>6720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2021-09-15T16:03:00Z</dcterms:created>
  <dc:creator>Chen Xuejun</dc:creator>
  <cp:lastModifiedBy>李柔</cp:lastModifiedBy>
  <cp:lastPrinted>2023-05-09T03:18:00Z</cp:lastPrinted>
  <dcterms:modified xsi:type="dcterms:W3CDTF">2025-06-13T08:03:19Z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64AA6E91CF234EB7A31E19A4AC1E3587_13</vt:lpwstr>
  </property>
  <property fmtid="{D5CDD505-2E9C-101B-9397-08002B2CF9AE}" pid="4" name="KSOTemplateDocerSaveRecord">
    <vt:lpwstr>eyJoZGlkIjoiYzIxZmFlZjY3MDg2MWNjY2QwYzQ0MmU0MTdiYmY2ZWYiLCJ1c2VySWQiOiI4NDUwODM1ODIifQ==</vt:lpwstr>
  </property>
</Properties>
</file>